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D4" w:rsidRPr="000825D4" w:rsidRDefault="000825D4" w:rsidP="00082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</w:pP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fldChar w:fldCharType="begin"/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 xml:space="preserve"> 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HYPERLINK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 xml:space="preserve"> "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https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://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transport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-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gazeta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.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by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/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est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-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ideya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>/" \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instrText>o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instrText xml:space="preserve"> "Ссылка на: ЕСТЬ ИДЕЯ!" </w:instrTex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fldChar w:fldCharType="separate"/>
      </w:r>
      <w:r w:rsidRPr="000825D4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t>ЕСТЬ ИДЕЯ!</w:t>
      </w:r>
      <w:r w:rsidRPr="000825D4">
        <w:rPr>
          <w:rFonts w:ascii="Times New Roman" w:eastAsia="Times New Roman" w:hAnsi="Times New Roman" w:cs="Times New Roman"/>
          <w:bCs/>
          <w:sz w:val="36"/>
          <w:szCs w:val="36"/>
        </w:rPr>
        <w:fldChar w:fldCharType="end"/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словам секретаря конкурсной комиссии ведущего инженера службы технической политики и инвестиций управления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БелЖД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Тамары Шевеленко, качественный состав участников заметно изменился с учетом современных тенденций. Поэтому появление новой номинации «Молодежные инициативы, направленные на цифровую трансформацию производственных процессов» неслучайно. В прошлом году она стала самой популярной – было заявлено 12 работ.</w:t>
      </w:r>
    </w:p>
    <w:p w:rsidR="000825D4" w:rsidRPr="000825D4" w:rsidRDefault="000825D4" w:rsidP="0008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9345" cy="4126230"/>
            <wp:effectExtent l="0" t="0" r="1905" b="7620"/>
            <wp:docPr id="1" name="Рисунок 1" descr="https://transport-gazeta.by/wp-content/uploads/2023/01/Есть-идея_25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nsport-gazeta.by/wp-content/uploads/2023/01/Есть-идея_2501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проведения мероприятия прописан в положении о нем. Молодежные инициативы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2023 стартовали 1 января, а прием заявок завершится 1 марта. Есть ограничение по возрасту – 31 год.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Сначала работы рассматриваются в структурных подразделениях, где трудятся их авторы, затем – в отделениях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БелЖД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лишь после этого направляются в электронном виде в службу технической политики и инвестиций управления дороги, где их аккумулирует секретарь комиссии. Тамара Петровна поясняет: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Моя задача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проверить соответствие оформления предъявляемым требованиям. В визитной карточке должны быть указаны все данные об участнике, в описании – информация об исследовании, чертежи, схемы, фото, если таковые имеются. Все поступившие материалы необходимо систематизировать, разложить по номинациям.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составе комиссии, руководит которой главный инженер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БелЖД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Сергей Новодворский, – представители практически всех ведущих служб магистрали. Каждый из членов выставляет оценку по пятибалльной шкале. Затем баллы суммируются. На победу претендуют три работы, набравшие в каждой номинации большее их число. Имена лидеров определяются по итогам заседания комиссии.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Наибольшую активность, по наблюдениям Тамары Шевеленко, традиционно проявляют Гомельское и Минское отделения. При этом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гомельчане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-таки впереди. Впрочем, меньшее поступление новаторских предложений из других отделений вовсе не отражает безыни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циативность. Небольшое Брестское отделение хоть и не лидирует по количеству представленных работ, тем не менее его молодые специалисты год от года – в рядах победителей.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конкурсантов, естественно, преобладает инженерно-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технический состав, но немало и представителей рабочих профессий.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Есть те, кто принимал участие и выходил победителем неоднократно. Так, заместитель начальника станции Минск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-Пассажирский Александр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Кулишевич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подавал свои работы пять раз и трижды становился лидером. Инженеры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-технологи Гомельского вагонного депо Александр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Отока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Ольга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Лысенкова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инженер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-энергетик ППС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Барбаров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Игорь Дроздов участвовали дважды и в обоих случаях побеждали. Инженер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Жлобинской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дистанции пути Александр Дубровский три раза заявлялся в конкурсе, два из них был отмечен комиссией.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Очень многое зависит от руководителей, как они ориентируют и направляют молодежь. Там, где уделяется должное внимание, как правило, есть и результат, – делает вывод Тамара Петровна, которая как секретарь комиссии не только отвечает за организационные моменты, но и внимательно знакомится с содержанием работ. – Мне это интересно, поскольку занимаюсь воп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росами рационализаторства и изобретательства, новшеств и новаций, можно сказать, всю жизнь. Попала в эту сферу в 1990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х после окончания БНТУ. Кроме того, я – юрист в области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патентоведения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инноваций. На железной дороге – с 2010 года. Молодежные инициативы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усовершенствование каких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-то технических характеристик и технологических процессов, что, как правило, ведет к улучшению условий, повышению производительности и качества труда, экономии ресурсов. То есть положительный результат со всех сторон.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же происходит дальше с идеями победителей конкурса молодежных инициатив? В службе технической политики и инвестиций утверждают, что вынесенные на суд конкурсной комиссии рацпредложения в любом случае перестают быть только идеями. Руководителям структурных подразделений, в которых трудятся ребята, поручается рассмотреть возможность внедрения и применения предложенных решений как на отдельно взятом предприятии, так и на всей магистрали. Технические службы управления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БелЖД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, выступающие кураторами таких структурных подразделений, также несут ответственность за практическую реализацию молодежных инициатив.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Тамара Шевеленко приводит несколько примеров.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Идея ведущего инженера-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технолога Ивана Байды, изложенная им в представленной на конкурс работе «Изготовление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обдувочной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камеры для участка по ремонту электрических 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машин» используется в локомотивном депо Гомель. Результатом стало улучшение условий труда на участке без приобретения нового дорогостоящего технологического оборудования.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В Гомельском вагонном депо внедрена инициатива инженера-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технолога Ольги </w:t>
      </w:r>
      <w:proofErr w:type="spell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Лысенковой</w:t>
      </w:r>
      <w:proofErr w:type="spell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«Разработка технологии магнитопорошкового контроля роликов подшипника».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 инженера Маргариты Снежковой по технологическому процессу смены стрелочного перевода с использованием универсального погрузчика реализованы в Гомельской дистанции пути. Как результат, сократилась продолжительность работ в предоставляемое «окно», облегчен труд монтеров пути, снижены эксплуатационные расходы.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Есть и еще один важный момент. В ежегодном протоколе по подведению итогов конкурса службе организационно-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кадровой работы дается рекомендация включать перспективных и </w:t>
      </w:r>
      <w:proofErr w:type="gramStart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инициативных молодых работников из числа участников</w:t>
      </w:r>
      <w:proofErr w:type="gramEnd"/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победителей в специальную группу резерва. Словом, с какой стороны ни посмотри, а участвовать в конкурсе однозначно стоит.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стартовал в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2017-м и за шесть лет существенно укрепил свои позиции. Если вначале было три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номинации, то сегодня их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– восемь. Лидерами первого были признаны работы девяти участников, а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2022-м их</w:t>
      </w:r>
      <w:r w:rsidRPr="000825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уже 25!</w:t>
      </w:r>
    </w:p>
    <w:p w:rsidR="000825D4" w:rsidRPr="000825D4" w:rsidRDefault="000825D4" w:rsidP="000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5D4">
        <w:rPr>
          <w:rFonts w:ascii="Times New Roman" w:eastAsia="Times New Roman" w:hAnsi="Times New Roman" w:cs="Times New Roman"/>
          <w:sz w:val="24"/>
          <w:szCs w:val="24"/>
          <w:lang w:val="ru-RU"/>
        </w:rPr>
        <w:t>Татьяна АЗАРЕВИЧ, «ТВ»</w:t>
      </w:r>
    </w:p>
    <w:p w:rsidR="00976F5E" w:rsidRPr="000825D4" w:rsidRDefault="000825D4">
      <w:pPr>
        <w:rPr>
          <w:lang w:val="ru-RU"/>
        </w:rPr>
      </w:pPr>
      <w:r w:rsidRPr="000825D4">
        <w:t>https</w:t>
      </w:r>
      <w:r w:rsidRPr="000825D4">
        <w:rPr>
          <w:lang w:val="ru-RU"/>
        </w:rPr>
        <w:t>://</w:t>
      </w:r>
      <w:r w:rsidRPr="000825D4">
        <w:t>transport</w:t>
      </w:r>
      <w:r w:rsidRPr="000825D4">
        <w:rPr>
          <w:lang w:val="ru-RU"/>
        </w:rPr>
        <w:t>-</w:t>
      </w:r>
      <w:r w:rsidRPr="000825D4">
        <w:t>gazeta</w:t>
      </w:r>
      <w:r w:rsidRPr="000825D4">
        <w:rPr>
          <w:lang w:val="ru-RU"/>
        </w:rPr>
        <w:t>.</w:t>
      </w:r>
      <w:r w:rsidRPr="000825D4">
        <w:t>by</w:t>
      </w:r>
      <w:r w:rsidRPr="000825D4">
        <w:rPr>
          <w:lang w:val="ru-RU"/>
        </w:rPr>
        <w:t>/</w:t>
      </w:r>
      <w:r w:rsidRPr="000825D4">
        <w:t>est</w:t>
      </w:r>
      <w:r w:rsidRPr="000825D4">
        <w:rPr>
          <w:lang w:val="ru-RU"/>
        </w:rPr>
        <w:t>-</w:t>
      </w:r>
      <w:r w:rsidRPr="000825D4">
        <w:t>ideya</w:t>
      </w:r>
      <w:r w:rsidRPr="000825D4">
        <w:rPr>
          <w:lang w:val="ru-RU"/>
        </w:rPr>
        <w:t>/</w:t>
      </w:r>
      <w:bookmarkStart w:id="0" w:name="_GoBack"/>
      <w:bookmarkEnd w:id="0"/>
    </w:p>
    <w:sectPr w:rsidR="00976F5E" w:rsidRPr="000825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4A"/>
    <w:rsid w:val="000825D4"/>
    <w:rsid w:val="00547AF7"/>
    <w:rsid w:val="00654F4A"/>
    <w:rsid w:val="00E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E387"/>
  <w15:chartTrackingRefBased/>
  <w15:docId w15:val="{6B532702-23AB-4C1B-B20E-295815C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25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2023-02-15T12:41:00Z</dcterms:created>
  <dcterms:modified xsi:type="dcterms:W3CDTF">2023-02-15T12:42:00Z</dcterms:modified>
</cp:coreProperties>
</file>